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w:t>
      </w:r>
      <w:r>
        <w:rPr>
          <w:rFonts w:hint="eastAsia" w:eastAsia="宋体" w:cs="Arial"/>
          <w:b/>
          <w:sz w:val="22"/>
          <w:szCs w:val="22"/>
          <w:lang w:val="en-US" w:eastAsia="zh-CN"/>
        </w:rPr>
        <w:t>12bis-e</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302832</w:t>
      </w:r>
    </w:p>
    <w:p>
      <w:pPr>
        <w:pStyle w:val="99"/>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 April 17</w:t>
      </w:r>
      <w:r>
        <w:rPr>
          <w:rFonts w:eastAsia="宋体" w:cs="Arial"/>
          <w:b/>
          <w:bCs/>
          <w:sz w:val="22"/>
          <w:szCs w:val="22"/>
          <w:vertAlign w:val="superscript"/>
          <w:lang w:val="en-US" w:eastAsia="zh-CN"/>
        </w:rPr>
        <w:t>th</w:t>
      </w:r>
      <w:r>
        <w:rPr>
          <w:rFonts w:hint="eastAsia" w:eastAsia="宋体" w:cs="Arial"/>
          <w:b/>
          <w:bCs/>
          <w:sz w:val="22"/>
          <w:szCs w:val="22"/>
          <w:vertAlign w:val="superscript"/>
          <w:lang w:val="en-US" w:eastAsia="zh-CN"/>
        </w:rPr>
        <w:t xml:space="preserve"> </w:t>
      </w:r>
      <w:r>
        <w:rPr>
          <w:rFonts w:eastAsia="宋体" w:cs="Arial"/>
          <w:b/>
          <w:bCs/>
          <w:sz w:val="22"/>
          <w:szCs w:val="22"/>
          <w:lang w:val="en-US" w:eastAsia="zh-CN"/>
        </w:rPr>
        <w:t>-</w:t>
      </w:r>
      <w:r>
        <w:rPr>
          <w:rFonts w:hint="eastAsia" w:eastAsia="宋体" w:cs="Arial"/>
          <w:b/>
          <w:bCs/>
          <w:sz w:val="22"/>
          <w:szCs w:val="22"/>
          <w:lang w:val="en-US" w:eastAsia="zh-CN"/>
        </w:rPr>
        <w:t xml:space="preserve"> 26</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23</w:t>
      </w:r>
    </w:p>
    <w:p>
      <w:pPr>
        <w:pStyle w:val="99"/>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LBT type update upon detection of DCI format 2-0 for 52.6 to 71GHz</w:t>
      </w:r>
    </w:p>
    <w:p>
      <w:pPr>
        <w:pStyle w:val="19"/>
        <w:tabs>
          <w:tab w:val="left" w:pos="1805"/>
        </w:tabs>
        <w:spacing w:after="60" w:line="240" w:lineRule="auto"/>
        <w:ind w:left="1797" w:hanging="1797"/>
        <w:jc w:val="both"/>
        <w:rPr>
          <w:rFonts w:hint="default" w:cs="Arial"/>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w:t>
      </w:r>
      <w:r>
        <w:rPr>
          <w:rFonts w:eastAsia="宋体" w:cs="Arial"/>
          <w:sz w:val="22"/>
          <w:szCs w:val="22"/>
          <w:lang w:val="sv-SE" w:eastAsia="zh-CN"/>
        </w:rPr>
        <w:t>.</w:t>
      </w:r>
      <w:r>
        <w:rPr>
          <w:rFonts w:hint="eastAsia" w:eastAsia="宋体" w:cs="Arial"/>
          <w:sz w:val="22"/>
          <w:szCs w:val="22"/>
          <w:lang w:val="en-US" w:eastAsia="zh-CN"/>
        </w:rPr>
        <w:t>2</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numPr>
          <w:ilvl w:val="-1"/>
          <w:numId w:val="0"/>
        </w:numPr>
        <w:snapToGrid w:val="0"/>
        <w:spacing w:before="120" w:beforeLines="50" w:after="120" w:afterLines="50" w:line="240" w:lineRule="auto"/>
        <w:ind w:left="0" w:leftChars="0" w:firstLine="0" w:firstLineChars="0"/>
        <w:jc w:val="both"/>
        <w:rPr>
          <w:rFonts w:eastAsia="宋体"/>
          <w:sz w:val="21"/>
          <w:szCs w:val="21"/>
          <w:lang w:val="en-US" w:eastAsia="zh-CN"/>
        </w:rPr>
      </w:pPr>
      <w:bookmarkStart w:id="1" w:name="OLE_LINK15"/>
      <w:bookmarkStart w:id="2" w:name="OLE_LINK1"/>
      <w:bookmarkStart w:id="3" w:name="OLE_LINK16"/>
      <w:bookmarkStart w:id="4" w:name="OLE_LINK2"/>
      <w:r>
        <w:rPr>
          <w:rFonts w:hint="eastAsia"/>
          <w:sz w:val="21"/>
          <w:szCs w:val="21"/>
          <w:lang w:val="en-US" w:eastAsia="zh-CN"/>
        </w:rPr>
        <w:t>In this contribution, we will discuss channel access type update when DCI format 2-0 is detected for NR above 52.6GHz.</w:t>
      </w:r>
    </w:p>
    <w:p>
      <w:pPr>
        <w:pStyle w:val="2"/>
        <w:spacing w:before="0" w:after="0" w:line="240" w:lineRule="auto"/>
        <w:rPr>
          <w:b/>
          <w:bCs/>
          <w:sz w:val="32"/>
          <w:lang w:val="en-US" w:eastAsia="zh-CN"/>
        </w:rPr>
      </w:pPr>
      <w:r>
        <w:rPr>
          <w:b/>
          <w:bCs/>
          <w:sz w:val="32"/>
          <w:lang w:val="en-US" w:eastAsia="zh-CN"/>
        </w:rPr>
        <w:t xml:space="preserve"> Discussion</w:t>
      </w:r>
    </w:p>
    <w:p>
      <w:pPr>
        <w:pStyle w:val="3"/>
        <w:numPr>
          <w:ilvl w:val="1"/>
          <w:numId w:val="0"/>
        </w:numPr>
        <w:spacing w:line="260" w:lineRule="auto"/>
        <w:jc w:val="both"/>
        <w:rPr>
          <w:rFonts w:hint="eastAsia" w:cs="Times New Roman"/>
          <w:b w:val="0"/>
          <w:bCs w:val="0"/>
          <w:i w:val="0"/>
          <w:sz w:val="21"/>
          <w:szCs w:val="21"/>
          <w:lang w:val="en-US" w:eastAsia="zh-CN"/>
        </w:rPr>
      </w:pPr>
      <w:bookmarkStart w:id="5" w:name="_Toc28873153"/>
      <w:r>
        <w:rPr>
          <w:rFonts w:hint="eastAsia" w:cs="Times New Roman"/>
          <w:b w:val="0"/>
          <w:bCs w:val="0"/>
          <w:i w:val="0"/>
          <w:sz w:val="21"/>
          <w:szCs w:val="21"/>
          <w:lang w:val="en-US" w:eastAsia="zh-CN"/>
        </w:rPr>
        <w:t>In Rel-16 NR-U, it was agreed to support LBT Type switching from Type 1 channel access procedures to Type 2A channel access procedure when the UE detects DCI format 2_0 and know its corresponding UL transmission is within the remaining channel occupancy. Corresponding text in TS 37.213-h40 [1] is copied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pStyle w:val="56"/>
            </w:pPr>
            <w:bookmarkStart w:id="6" w:name="_Toc35593610"/>
            <w:bookmarkStart w:id="7" w:name="_Toc114067683"/>
            <w:bookmarkStart w:id="8" w:name="_Toc28873152"/>
            <w:bookmarkStart w:id="9" w:name="_Toc51607167"/>
            <w:bookmarkStart w:id="10" w:name="_Toc44669018"/>
            <w:r>
              <w:t>4.2.1.0.0</w:t>
            </w:r>
            <w:r>
              <w:tab/>
            </w:r>
            <w:r>
              <w:t>Channel access procedures upon detection of a common DCI</w:t>
            </w:r>
            <w:bookmarkEnd w:id="6"/>
            <w:bookmarkEnd w:id="7"/>
            <w:bookmarkEnd w:id="8"/>
            <w:bookmarkEnd w:id="9"/>
            <w:bookmarkEnd w:id="10"/>
          </w:p>
          <w:p>
            <w:pPr>
              <w:pStyle w:val="56"/>
              <w:jc w:val="center"/>
              <w:rPr>
                <w:rFonts w:hint="default" w:eastAsia="宋体"/>
                <w:lang w:val="en-US" w:eastAsia="zh-CN"/>
              </w:rPr>
            </w:pPr>
            <w:r>
              <w:rPr>
                <w:rFonts w:hint="eastAsia" w:eastAsia="宋体"/>
                <w:lang w:val="en-US" w:eastAsia="zh-CN"/>
              </w:rPr>
              <w:t>&lt;omitted&gt;</w:t>
            </w:r>
          </w:p>
          <w:p>
            <w:pPr>
              <w:pStyle w:val="56"/>
              <w:rPr>
                <w:lang w:val="en-US"/>
              </w:rPr>
            </w:pPr>
            <w:r>
              <w:rPr>
                <w:lang w:val="en-US"/>
              </w:rPr>
              <w:t>If a UE determines the duration in time domain and the location in frequency domain of a remaining channel occupancy initiated by the gNB from a DCI format 2_0 as described in clause 11.1.1 of [7], the following is applicable:</w:t>
            </w:r>
          </w:p>
          <w:p>
            <w:pPr>
              <w:pStyle w:val="56"/>
              <w:rPr>
                <w:rFonts w:hint="default"/>
                <w:vertAlign w:val="baseline"/>
                <w:lang w:val="en-US" w:eastAsia="zh-CN"/>
              </w:rPr>
            </w:pPr>
            <w:r>
              <w:t>-</w:t>
            </w:r>
            <w:r>
              <w:tab/>
            </w:r>
            <w:r>
              <w:t xml:space="preserve">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p>
        </w:tc>
      </w:tr>
    </w:tbl>
    <w:p>
      <w:pPr>
        <w:pStyle w:val="3"/>
        <w:numPr>
          <w:ilvl w:val="1"/>
          <w:numId w:val="0"/>
        </w:numPr>
        <w:spacing w:line="260" w:lineRule="auto"/>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While for Rel-17 NR above 52.6GHz, we think that similar LBT switching mechanism should be also supported. That is, support LBT type from Type 1 channel access procedures as described in Clause 4.4.1 to Type 2 channel access procedures as described in Clause 4.4.2 or Type 3 channel access procedures as described in Clause 4.4.3. Wherein, specific switch to Type 2 channel access procedures as described in Clause 4.4.2 or Type 3 channel access procedures as described in Clause 4.4.3 can be determined by local regulation. If Type 2 channel access procedure is allowed in the region by local regulation, the UE can use Type 2 channel access for UL transmission. Otherwise, UE can use Type 3 channel access for UL transmission.</w:t>
      </w:r>
    </w:p>
    <w:p>
      <w:pPr>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 xml:space="preserve">In the last meeting, a few companies think that UE does not identify its own location. However, after discussion and confirmation with colleagues that are engaged in product implementation, </w:t>
      </w:r>
      <w:r>
        <w:rPr>
          <w:rFonts w:hint="default" w:cs="Times New Roman"/>
          <w:b w:val="0"/>
          <w:bCs w:val="0"/>
          <w:i w:val="0"/>
          <w:sz w:val="21"/>
          <w:szCs w:val="21"/>
          <w:lang w:val="en-US" w:eastAsia="zh-CN"/>
        </w:rPr>
        <w:t>the information we have learned is that UE can fully identify the location through PLMN.</w:t>
      </w:r>
      <w:r>
        <w:rPr>
          <w:rFonts w:hint="eastAsia" w:cs="Times New Roman"/>
          <w:b w:val="0"/>
          <w:bCs w:val="0"/>
          <w:i w:val="0"/>
          <w:sz w:val="21"/>
          <w:szCs w:val="21"/>
          <w:lang w:val="en-US" w:eastAsia="zh-CN"/>
        </w:rPr>
        <w:t xml:space="preserve"> Even in a private network, </w:t>
      </w:r>
      <w:r>
        <w:rPr>
          <w:rFonts w:hint="default" w:cs="Times New Roman"/>
          <w:b w:val="0"/>
          <w:bCs w:val="0"/>
          <w:i w:val="0"/>
          <w:sz w:val="21"/>
          <w:szCs w:val="21"/>
          <w:lang w:val="en-US" w:eastAsia="zh-CN"/>
        </w:rPr>
        <w:t xml:space="preserve">we understand that UE should first connect to a public network when entering to a new region/area, and when UE moves to a private network, it only needs to switch from a public network to a private network. </w:t>
      </w:r>
      <w:r>
        <w:rPr>
          <w:rFonts w:hint="eastAsia" w:cs="Times New Roman"/>
          <w:b w:val="0"/>
          <w:bCs w:val="0"/>
          <w:i w:val="0"/>
          <w:sz w:val="21"/>
          <w:szCs w:val="21"/>
          <w:lang w:val="en-US" w:eastAsia="zh-CN"/>
        </w:rPr>
        <w:t>So f</w:t>
      </w:r>
      <w:r>
        <w:rPr>
          <w:rFonts w:hint="default" w:cs="Times New Roman"/>
          <w:b w:val="0"/>
          <w:bCs w:val="0"/>
          <w:i w:val="0"/>
          <w:sz w:val="21"/>
          <w:szCs w:val="21"/>
          <w:lang w:val="en-US" w:eastAsia="zh-CN"/>
        </w:rPr>
        <w:t xml:space="preserve">rom UE point of view, it knows its geographical location and local regulations. </w:t>
      </w:r>
    </w:p>
    <w:p>
      <w:pPr>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Based on the above analysis, we think that the simplest method to support LBT type update within a COT is let UE to decide whether LBT type should be switched to Type 2 channel access procedures as described in Clause 4.4.2 or Type 3 channel access procedures as described in Clause 4.4.3 by local regulation.</w:t>
      </w:r>
    </w:p>
    <w:p>
      <w:pPr>
        <w:pStyle w:val="3"/>
        <w:numPr>
          <w:ilvl w:val="1"/>
          <w:numId w:val="0"/>
        </w:numPr>
        <w:spacing w:line="260" w:lineRule="auto"/>
        <w:jc w:val="both"/>
        <w:rPr>
          <w:rFonts w:hint="eastAsia" w:eastAsia="宋体"/>
          <w:b w:val="0"/>
          <w:bCs/>
          <w:i/>
          <w:iCs/>
          <w:sz w:val="21"/>
          <w:szCs w:val="21"/>
          <w:lang w:val="en-US" w:eastAsia="zh-CN"/>
        </w:rPr>
      </w:pPr>
      <w:bookmarkStart w:id="11" w:name="_GoBack"/>
      <w:bookmarkEnd w:id="11"/>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eastAsia" w:eastAsia="宋体"/>
          <w:b/>
          <w:bCs w:val="0"/>
          <w:i w:val="0"/>
          <w:iCs w:val="0"/>
          <w:sz w:val="21"/>
          <w:szCs w:val="21"/>
          <w:lang w:val="en-US" w:eastAsia="zh-CN"/>
        </w:rPr>
        <w:t xml:space="preserve"> </w:t>
      </w:r>
      <w:r>
        <w:rPr>
          <w:rFonts w:hint="eastAsia" w:eastAsia="宋体"/>
          <w:b w:val="0"/>
          <w:bCs/>
          <w:i/>
          <w:iCs/>
          <w:sz w:val="21"/>
          <w:szCs w:val="21"/>
          <w:lang w:val="en-US" w:eastAsia="zh-CN"/>
        </w:rPr>
        <w:t>The UE can switch LBT type from Type1 channel access procedure to Type 2 or Type 3 channel access procedure for UL transmissions within the COT when DCI format 2-0 is detected by UE.</w:t>
      </w:r>
    </w:p>
    <w:p>
      <w:pPr>
        <w:numPr>
          <w:ilvl w:val="0"/>
          <w:numId w:val="12"/>
        </w:numPr>
        <w:ind w:left="420" w:hanging="420"/>
        <w:rPr>
          <w:rFonts w:hint="eastAsia"/>
          <w:sz w:val="21"/>
          <w:szCs w:val="21"/>
          <w:lang w:val="en-US" w:eastAsia="zh-CN"/>
        </w:rPr>
      </w:pPr>
      <w:r>
        <w:rPr>
          <w:rFonts w:hint="eastAsia" w:eastAsia="宋体"/>
          <w:b w:val="0"/>
          <w:bCs/>
          <w:i/>
          <w:iCs/>
          <w:sz w:val="21"/>
          <w:szCs w:val="21"/>
          <w:lang w:val="en-US" w:eastAsia="zh-CN"/>
        </w:rPr>
        <w:t>UE uses Type 2 or Type 3 channel access procedure depends on local regulation</w:t>
      </w:r>
    </w:p>
    <w:p>
      <w:pPr>
        <w:numPr>
          <w:ilvl w:val="1"/>
          <w:numId w:val="12"/>
        </w:numPr>
        <w:ind w:left="840" w:hanging="420"/>
        <w:rPr>
          <w:rFonts w:hint="eastAsia"/>
          <w:i/>
          <w:iCs/>
          <w:sz w:val="21"/>
          <w:szCs w:val="21"/>
          <w:lang w:val="en-US" w:eastAsia="zh-CN"/>
        </w:rPr>
      </w:pPr>
      <w:r>
        <w:rPr>
          <w:rFonts w:hint="eastAsia"/>
          <w:i/>
          <w:iCs/>
          <w:sz w:val="21"/>
          <w:szCs w:val="21"/>
          <w:lang w:val="en-US" w:eastAsia="zh-CN"/>
        </w:rPr>
        <w:t xml:space="preserve">If Type 2 channel access procedure is allowed in the region by local regulation, the UE can use Type 2 channel access for UL transmission. </w:t>
      </w:r>
    </w:p>
    <w:p>
      <w:pPr>
        <w:numPr>
          <w:ilvl w:val="1"/>
          <w:numId w:val="12"/>
        </w:numPr>
        <w:ind w:left="840" w:hanging="420"/>
        <w:rPr>
          <w:rFonts w:hint="default"/>
          <w:i w:val="0"/>
          <w:sz w:val="21"/>
          <w:szCs w:val="21"/>
          <w:lang w:val="en-US" w:eastAsia="zh-CN"/>
        </w:rPr>
      </w:pPr>
      <w:r>
        <w:rPr>
          <w:rFonts w:hint="eastAsia"/>
          <w:i/>
          <w:iCs/>
          <w:sz w:val="21"/>
          <w:szCs w:val="21"/>
          <w:lang w:val="en-US" w:eastAsia="zh-CN"/>
        </w:rPr>
        <w:t>Otherwise, UE can use Type 3 channel access for UL transmission.</w:t>
      </w:r>
      <w:bookmarkEnd w:id="5"/>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 xml:space="preserve">In this contribution, we </w:t>
      </w:r>
      <w:r>
        <w:rPr>
          <w:rFonts w:hint="eastAsia"/>
          <w:sz w:val="21"/>
          <w:szCs w:val="21"/>
          <w:lang w:val="en-US" w:eastAsia="zh-CN"/>
        </w:rPr>
        <w:t xml:space="preserve">discuss channel access type update when DCI format 2-0 is detected for NR above 52.6GHz and </w:t>
      </w:r>
      <w:r>
        <w:rPr>
          <w:rFonts w:eastAsia="宋体"/>
          <w:sz w:val="21"/>
          <w:szCs w:val="21"/>
          <w:lang w:val="en-US" w:eastAsia="zh-CN"/>
        </w:rPr>
        <w:t xml:space="preserve">provide </w:t>
      </w:r>
      <w:r>
        <w:rPr>
          <w:sz w:val="21"/>
          <w:szCs w:val="21"/>
          <w:lang w:val="en-US" w:eastAsia="zh-CN"/>
        </w:rPr>
        <w:t>the following</w:t>
      </w:r>
      <w:r>
        <w:rPr>
          <w:rFonts w:hint="eastAsia"/>
          <w:sz w:val="21"/>
          <w:szCs w:val="21"/>
          <w:lang w:val="en-US" w:eastAsia="zh-CN"/>
        </w:rPr>
        <w:t xml:space="preserve"> </w:t>
      </w:r>
      <w:r>
        <w:rPr>
          <w:sz w:val="21"/>
          <w:szCs w:val="21"/>
          <w:lang w:val="en-US" w:eastAsia="zh-CN"/>
        </w:rPr>
        <w:t>proposal:</w:t>
      </w:r>
    </w:p>
    <w:p>
      <w:pPr>
        <w:pStyle w:val="3"/>
        <w:numPr>
          <w:ilvl w:val="1"/>
          <w:numId w:val="0"/>
        </w:numPr>
        <w:spacing w:line="260" w:lineRule="auto"/>
        <w:jc w:val="both"/>
        <w:rPr>
          <w:rFonts w:hint="eastAsia" w:eastAsia="宋体"/>
          <w:b w:val="0"/>
          <w:bCs/>
          <w:i/>
          <w:iCs/>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eastAsia" w:eastAsia="宋体"/>
          <w:b/>
          <w:bCs w:val="0"/>
          <w:i w:val="0"/>
          <w:iCs w:val="0"/>
          <w:sz w:val="21"/>
          <w:szCs w:val="21"/>
          <w:lang w:val="en-US" w:eastAsia="zh-CN"/>
        </w:rPr>
        <w:t xml:space="preserve"> </w:t>
      </w:r>
      <w:r>
        <w:rPr>
          <w:rFonts w:hint="eastAsia" w:eastAsia="宋体"/>
          <w:b w:val="0"/>
          <w:bCs/>
          <w:i/>
          <w:iCs/>
          <w:sz w:val="21"/>
          <w:szCs w:val="21"/>
          <w:lang w:val="en-US" w:eastAsia="zh-CN"/>
        </w:rPr>
        <w:t>The UE can switch LBT type from Type1 channel access procedure to Type 2 or Type 3 channel access procedure for UL transmissions within the COT when DCI format 2-0 is detected by UE.</w:t>
      </w:r>
    </w:p>
    <w:p>
      <w:pPr>
        <w:numPr>
          <w:ilvl w:val="0"/>
          <w:numId w:val="12"/>
        </w:numPr>
        <w:ind w:left="420" w:hanging="420"/>
        <w:rPr>
          <w:rFonts w:hint="eastAsia"/>
          <w:sz w:val="21"/>
          <w:szCs w:val="21"/>
          <w:lang w:val="en-US" w:eastAsia="zh-CN"/>
        </w:rPr>
      </w:pPr>
      <w:r>
        <w:rPr>
          <w:rFonts w:hint="eastAsia" w:eastAsia="宋体"/>
          <w:b w:val="0"/>
          <w:bCs/>
          <w:i/>
          <w:iCs/>
          <w:sz w:val="21"/>
          <w:szCs w:val="21"/>
          <w:lang w:val="en-US" w:eastAsia="zh-CN"/>
        </w:rPr>
        <w:t>UE uses Type 2 or Type 3 channel access procedure depends on local regulation</w:t>
      </w:r>
    </w:p>
    <w:p>
      <w:pPr>
        <w:numPr>
          <w:ilvl w:val="1"/>
          <w:numId w:val="12"/>
        </w:numPr>
        <w:ind w:left="840" w:hanging="420"/>
        <w:rPr>
          <w:rFonts w:hint="eastAsia"/>
          <w:i/>
          <w:iCs/>
          <w:sz w:val="21"/>
          <w:szCs w:val="21"/>
          <w:lang w:val="en-US" w:eastAsia="zh-CN"/>
        </w:rPr>
      </w:pPr>
      <w:r>
        <w:rPr>
          <w:rFonts w:hint="eastAsia"/>
          <w:i/>
          <w:iCs/>
          <w:sz w:val="21"/>
          <w:szCs w:val="21"/>
          <w:lang w:val="en-US" w:eastAsia="zh-CN"/>
        </w:rPr>
        <w:t xml:space="preserve">If Type 2 channel access procedure is allowed in the region by local regulation, the UE can use Type 2 channel access for UL transmission. </w:t>
      </w:r>
    </w:p>
    <w:p>
      <w:pPr>
        <w:numPr>
          <w:ilvl w:val="1"/>
          <w:numId w:val="12"/>
        </w:numPr>
        <w:ind w:left="840" w:hanging="420"/>
        <w:jc w:val="left"/>
        <w:rPr>
          <w:rFonts w:hint="eastAsia" w:eastAsia="宋体" w:cs="Times New Roman"/>
          <w:b/>
          <w:bCs w:val="0"/>
          <w:i w:val="0"/>
          <w:iCs w:val="0"/>
          <w:sz w:val="21"/>
          <w:szCs w:val="21"/>
          <w:lang w:val="en-US" w:eastAsia="zh-CN"/>
        </w:rPr>
      </w:pPr>
      <w:r>
        <w:rPr>
          <w:rFonts w:hint="eastAsia"/>
          <w:i/>
          <w:iCs/>
          <w:sz w:val="21"/>
          <w:szCs w:val="21"/>
          <w:lang w:val="en-US" w:eastAsia="zh-CN"/>
        </w:rPr>
        <w:t>Otherwise, UE can use Type 3 channel access for UL transmission.</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13"/>
        </w:numPr>
        <w:autoSpaceDE w:val="0"/>
        <w:autoSpaceDN w:val="0"/>
        <w:adjustRightInd w:val="0"/>
        <w:spacing w:after="72" w:afterLines="30" w:line="240" w:lineRule="auto"/>
        <w:jc w:val="both"/>
        <w:rPr>
          <w:sz w:val="21"/>
          <w:szCs w:val="21"/>
          <w:lang w:val="en-US" w:eastAsia="zh-CN"/>
        </w:rPr>
      </w:pPr>
      <w:r>
        <w:t>3GPP T</w:t>
      </w:r>
      <w:r>
        <w:rPr>
          <w:rFonts w:hint="eastAsia" w:eastAsia="宋体"/>
          <w:lang w:val="en-US" w:eastAsia="zh-CN"/>
        </w:rPr>
        <w:t>S 37.213-h50</w:t>
      </w:r>
      <w:r>
        <w:t>: "Physical layer procedures for shared spectrum channel access".</w:t>
      </w:r>
    </w:p>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1561B1"/>
    <w:multiLevelType w:val="multilevel"/>
    <w:tmpl w:val="351561B1"/>
    <w:lvl w:ilvl="0" w:tentative="0">
      <w:start w:val="1"/>
      <w:numFmt w:val="bullet"/>
      <w:lvlText w:val="-"/>
      <w:lvlJc w:val="left"/>
      <w:pPr>
        <w:ind w:left="420" w:leftChars="0" w:hanging="420" w:firstLineChars="0"/>
      </w:pPr>
      <w:rPr>
        <w:rFonts w:hint="default" w:ascii="宋体" w:hAnsi="宋体" w:eastAsia="宋体" w:cs="宋体"/>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7">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1">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9"/>
  </w:num>
  <w:num w:numId="4">
    <w:abstractNumId w:val="12"/>
  </w:num>
  <w:num w:numId="5">
    <w:abstractNumId w:val="2"/>
  </w:num>
  <w:num w:numId="6">
    <w:abstractNumId w:val="8"/>
  </w:num>
  <w:num w:numId="7">
    <w:abstractNumId w:val="5"/>
  </w:num>
  <w:num w:numId="8">
    <w:abstractNumId w:val="0"/>
  </w:num>
  <w:num w:numId="9">
    <w:abstractNumId w:val="10"/>
  </w:num>
  <w:num w:numId="10">
    <w:abstractNumId w:val="7"/>
  </w:num>
  <w:num w:numId="11">
    <w:abstractNumId w:val="3"/>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2E3910"/>
    <w:rsid w:val="01312669"/>
    <w:rsid w:val="01340DD8"/>
    <w:rsid w:val="01350360"/>
    <w:rsid w:val="013708A2"/>
    <w:rsid w:val="01394080"/>
    <w:rsid w:val="01404759"/>
    <w:rsid w:val="014538E3"/>
    <w:rsid w:val="014C3BF9"/>
    <w:rsid w:val="0151177E"/>
    <w:rsid w:val="015C3B59"/>
    <w:rsid w:val="015C568F"/>
    <w:rsid w:val="01612353"/>
    <w:rsid w:val="0162338A"/>
    <w:rsid w:val="01627245"/>
    <w:rsid w:val="016B5252"/>
    <w:rsid w:val="016D6CE9"/>
    <w:rsid w:val="0171781D"/>
    <w:rsid w:val="017313AC"/>
    <w:rsid w:val="017A752E"/>
    <w:rsid w:val="017B323D"/>
    <w:rsid w:val="017D57AE"/>
    <w:rsid w:val="01815580"/>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AE75CF"/>
    <w:rsid w:val="02BB6135"/>
    <w:rsid w:val="02BC1004"/>
    <w:rsid w:val="02BE0B78"/>
    <w:rsid w:val="02C20A5F"/>
    <w:rsid w:val="02C65929"/>
    <w:rsid w:val="02CD26C0"/>
    <w:rsid w:val="02D2314A"/>
    <w:rsid w:val="02D8254A"/>
    <w:rsid w:val="02D85B09"/>
    <w:rsid w:val="02DD0FA7"/>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8F5E37"/>
    <w:rsid w:val="03901647"/>
    <w:rsid w:val="03940E35"/>
    <w:rsid w:val="0396293F"/>
    <w:rsid w:val="0397192A"/>
    <w:rsid w:val="03A0019E"/>
    <w:rsid w:val="03A57445"/>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B7ECA"/>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7240D"/>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64B30"/>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74433"/>
    <w:rsid w:val="089A6A3B"/>
    <w:rsid w:val="089B42EB"/>
    <w:rsid w:val="08A72202"/>
    <w:rsid w:val="08A86E3F"/>
    <w:rsid w:val="08AE795A"/>
    <w:rsid w:val="08B04E0E"/>
    <w:rsid w:val="08B20EA3"/>
    <w:rsid w:val="08B27F56"/>
    <w:rsid w:val="08B574EC"/>
    <w:rsid w:val="08B57F92"/>
    <w:rsid w:val="08B636D3"/>
    <w:rsid w:val="08BA7B3C"/>
    <w:rsid w:val="08BF2448"/>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1263F"/>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C6CC0"/>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44F5B"/>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0FFE21BF"/>
    <w:rsid w:val="10000831"/>
    <w:rsid w:val="100579D5"/>
    <w:rsid w:val="10063E75"/>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300EA"/>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84AE5"/>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22985"/>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4599"/>
    <w:rsid w:val="16DC7470"/>
    <w:rsid w:val="16DE10C7"/>
    <w:rsid w:val="16E353AF"/>
    <w:rsid w:val="16E84882"/>
    <w:rsid w:val="16EA5F62"/>
    <w:rsid w:val="16EE785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68183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25ED2"/>
    <w:rsid w:val="17D62790"/>
    <w:rsid w:val="17DE412F"/>
    <w:rsid w:val="17DE72B7"/>
    <w:rsid w:val="17DF4E37"/>
    <w:rsid w:val="17E20D1C"/>
    <w:rsid w:val="17E3702D"/>
    <w:rsid w:val="17E84BB6"/>
    <w:rsid w:val="17EE0B9F"/>
    <w:rsid w:val="17F70F34"/>
    <w:rsid w:val="18244A12"/>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1C670D"/>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224B16"/>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7D460F"/>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37AAF"/>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7D3028"/>
    <w:rsid w:val="1D805237"/>
    <w:rsid w:val="1D810454"/>
    <w:rsid w:val="1D816F38"/>
    <w:rsid w:val="1D8A6D06"/>
    <w:rsid w:val="1D922DAC"/>
    <w:rsid w:val="1D930031"/>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1F6CE8"/>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7661FE"/>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22624F"/>
    <w:rsid w:val="212718B8"/>
    <w:rsid w:val="212B15F0"/>
    <w:rsid w:val="212D241D"/>
    <w:rsid w:val="212D65E4"/>
    <w:rsid w:val="21351E9D"/>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2F2294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307F1"/>
    <w:rsid w:val="244C093D"/>
    <w:rsid w:val="24561B69"/>
    <w:rsid w:val="24593A41"/>
    <w:rsid w:val="245B7134"/>
    <w:rsid w:val="24614B0B"/>
    <w:rsid w:val="24650CF5"/>
    <w:rsid w:val="24656E71"/>
    <w:rsid w:val="246E03D1"/>
    <w:rsid w:val="246F1B15"/>
    <w:rsid w:val="24703780"/>
    <w:rsid w:val="247163F1"/>
    <w:rsid w:val="247176AA"/>
    <w:rsid w:val="247519D2"/>
    <w:rsid w:val="2482212C"/>
    <w:rsid w:val="2485277B"/>
    <w:rsid w:val="248638D6"/>
    <w:rsid w:val="248F2AEF"/>
    <w:rsid w:val="2492033C"/>
    <w:rsid w:val="24991D32"/>
    <w:rsid w:val="249D3DA9"/>
    <w:rsid w:val="249E39E1"/>
    <w:rsid w:val="24A27A9A"/>
    <w:rsid w:val="24AC4711"/>
    <w:rsid w:val="24AD6B35"/>
    <w:rsid w:val="24AE4AC9"/>
    <w:rsid w:val="24B13323"/>
    <w:rsid w:val="24B335A8"/>
    <w:rsid w:val="24B60CBF"/>
    <w:rsid w:val="24C574FB"/>
    <w:rsid w:val="24C6327F"/>
    <w:rsid w:val="24CC59DC"/>
    <w:rsid w:val="24D1641A"/>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BF4ED0"/>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3786B"/>
    <w:rsid w:val="28844117"/>
    <w:rsid w:val="28887239"/>
    <w:rsid w:val="2892570B"/>
    <w:rsid w:val="28931A76"/>
    <w:rsid w:val="28932225"/>
    <w:rsid w:val="28944FE7"/>
    <w:rsid w:val="2896111D"/>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0560D"/>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4B5BA4"/>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44218"/>
    <w:rsid w:val="2BB73A26"/>
    <w:rsid w:val="2BB7432C"/>
    <w:rsid w:val="2BBC1803"/>
    <w:rsid w:val="2BBE6B8E"/>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2F37BA"/>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137B5"/>
    <w:rsid w:val="2F520348"/>
    <w:rsid w:val="2F521CEC"/>
    <w:rsid w:val="2F525F81"/>
    <w:rsid w:val="2F5551FE"/>
    <w:rsid w:val="2F5725C4"/>
    <w:rsid w:val="2F5D3EE8"/>
    <w:rsid w:val="2F6126A2"/>
    <w:rsid w:val="2F616D32"/>
    <w:rsid w:val="2F621A32"/>
    <w:rsid w:val="2F657E18"/>
    <w:rsid w:val="2F6F1349"/>
    <w:rsid w:val="2F7C6392"/>
    <w:rsid w:val="2F7F3437"/>
    <w:rsid w:val="2F8038BA"/>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02BC"/>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B5ACD"/>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33C38"/>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17E6A"/>
    <w:rsid w:val="33753B52"/>
    <w:rsid w:val="337A6C18"/>
    <w:rsid w:val="337E5775"/>
    <w:rsid w:val="33852F92"/>
    <w:rsid w:val="338A01D6"/>
    <w:rsid w:val="339005E4"/>
    <w:rsid w:val="339C4326"/>
    <w:rsid w:val="33A26D1D"/>
    <w:rsid w:val="33AF031D"/>
    <w:rsid w:val="33BC761E"/>
    <w:rsid w:val="33BD6407"/>
    <w:rsid w:val="33BF6CBC"/>
    <w:rsid w:val="33D04D68"/>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54E6A"/>
    <w:rsid w:val="34D6123A"/>
    <w:rsid w:val="34F346DC"/>
    <w:rsid w:val="34F76022"/>
    <w:rsid w:val="34FA127B"/>
    <w:rsid w:val="34FD4E8D"/>
    <w:rsid w:val="35027278"/>
    <w:rsid w:val="35066340"/>
    <w:rsid w:val="350D40BC"/>
    <w:rsid w:val="35103039"/>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9A6B60"/>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A5F50"/>
    <w:rsid w:val="37CB48C8"/>
    <w:rsid w:val="37CC77E5"/>
    <w:rsid w:val="37D42753"/>
    <w:rsid w:val="37DE43CA"/>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315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729EB"/>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C2DD3"/>
    <w:rsid w:val="3A0D747E"/>
    <w:rsid w:val="3A1320A7"/>
    <w:rsid w:val="3A1530F4"/>
    <w:rsid w:val="3A176B0E"/>
    <w:rsid w:val="3A191CC0"/>
    <w:rsid w:val="3A194BBA"/>
    <w:rsid w:val="3A1A3080"/>
    <w:rsid w:val="3A1C3214"/>
    <w:rsid w:val="3A2200CD"/>
    <w:rsid w:val="3A280AA8"/>
    <w:rsid w:val="3A2B5CE1"/>
    <w:rsid w:val="3A2D2D36"/>
    <w:rsid w:val="3A331475"/>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4305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5548F"/>
    <w:rsid w:val="3BD820FE"/>
    <w:rsid w:val="3BEA365B"/>
    <w:rsid w:val="3BEB58D7"/>
    <w:rsid w:val="3BEB623F"/>
    <w:rsid w:val="3BF572E3"/>
    <w:rsid w:val="3BF8706E"/>
    <w:rsid w:val="3BF94F40"/>
    <w:rsid w:val="3BFE0325"/>
    <w:rsid w:val="3BFE746E"/>
    <w:rsid w:val="3C022C6A"/>
    <w:rsid w:val="3C03733A"/>
    <w:rsid w:val="3C0700C2"/>
    <w:rsid w:val="3C1069A5"/>
    <w:rsid w:val="3C19096E"/>
    <w:rsid w:val="3C1957C8"/>
    <w:rsid w:val="3C1C0639"/>
    <w:rsid w:val="3C226B28"/>
    <w:rsid w:val="3C234DFB"/>
    <w:rsid w:val="3C277F33"/>
    <w:rsid w:val="3C2B3C86"/>
    <w:rsid w:val="3C2E346D"/>
    <w:rsid w:val="3C300658"/>
    <w:rsid w:val="3C327738"/>
    <w:rsid w:val="3C346B7B"/>
    <w:rsid w:val="3C393A22"/>
    <w:rsid w:val="3C3B425B"/>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0FA8"/>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9D56C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742FB6"/>
    <w:rsid w:val="437C39D2"/>
    <w:rsid w:val="43855E14"/>
    <w:rsid w:val="438863EE"/>
    <w:rsid w:val="438B1E5B"/>
    <w:rsid w:val="438D34D1"/>
    <w:rsid w:val="438E2FC0"/>
    <w:rsid w:val="438E7BC0"/>
    <w:rsid w:val="43925EA7"/>
    <w:rsid w:val="4393353A"/>
    <w:rsid w:val="439A4D3E"/>
    <w:rsid w:val="43A25B11"/>
    <w:rsid w:val="43A65AB0"/>
    <w:rsid w:val="43A67E9D"/>
    <w:rsid w:val="43A9250C"/>
    <w:rsid w:val="43A94C99"/>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27D8E"/>
    <w:rsid w:val="44E34442"/>
    <w:rsid w:val="44E63F80"/>
    <w:rsid w:val="44EB6E85"/>
    <w:rsid w:val="44F314E1"/>
    <w:rsid w:val="44F44B41"/>
    <w:rsid w:val="44FF0ACB"/>
    <w:rsid w:val="44FF12D4"/>
    <w:rsid w:val="45007B8F"/>
    <w:rsid w:val="4505615F"/>
    <w:rsid w:val="45083C77"/>
    <w:rsid w:val="450937D1"/>
    <w:rsid w:val="45097F6A"/>
    <w:rsid w:val="450C562F"/>
    <w:rsid w:val="45183995"/>
    <w:rsid w:val="45195E19"/>
    <w:rsid w:val="451A08D6"/>
    <w:rsid w:val="451A4504"/>
    <w:rsid w:val="45216D6E"/>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324AD"/>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75B75"/>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50BF4"/>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910F9"/>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DD37C5"/>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94183"/>
    <w:rsid w:val="4C2B4F79"/>
    <w:rsid w:val="4C3065B9"/>
    <w:rsid w:val="4C324351"/>
    <w:rsid w:val="4C385A40"/>
    <w:rsid w:val="4C443F4D"/>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ED4183"/>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B3C3E"/>
    <w:rsid w:val="4EAB62F0"/>
    <w:rsid w:val="4EAC7615"/>
    <w:rsid w:val="4EAE4672"/>
    <w:rsid w:val="4EB40A91"/>
    <w:rsid w:val="4EB75565"/>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0494F"/>
    <w:rsid w:val="4F2C1A89"/>
    <w:rsid w:val="4F2D09CA"/>
    <w:rsid w:val="4F2D572D"/>
    <w:rsid w:val="4F2F54B5"/>
    <w:rsid w:val="4F343CA3"/>
    <w:rsid w:val="4F38100B"/>
    <w:rsid w:val="4F383C03"/>
    <w:rsid w:val="4F386432"/>
    <w:rsid w:val="4F3D05DF"/>
    <w:rsid w:val="4F3F4604"/>
    <w:rsid w:val="4F445653"/>
    <w:rsid w:val="4F4553CE"/>
    <w:rsid w:val="4F4A6028"/>
    <w:rsid w:val="4F4F0440"/>
    <w:rsid w:val="4F502636"/>
    <w:rsid w:val="4F537A4C"/>
    <w:rsid w:val="4F555D20"/>
    <w:rsid w:val="4F5A2129"/>
    <w:rsid w:val="4F5D0CE7"/>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CD1E3E"/>
    <w:rsid w:val="51D35801"/>
    <w:rsid w:val="51D67864"/>
    <w:rsid w:val="51DD01DB"/>
    <w:rsid w:val="51DD07C4"/>
    <w:rsid w:val="51DD2AB4"/>
    <w:rsid w:val="51DF5E42"/>
    <w:rsid w:val="51E82438"/>
    <w:rsid w:val="51E92702"/>
    <w:rsid w:val="51EA5164"/>
    <w:rsid w:val="51EE1CAB"/>
    <w:rsid w:val="51EE1CAE"/>
    <w:rsid w:val="51EF7CE3"/>
    <w:rsid w:val="51F1799E"/>
    <w:rsid w:val="51F52EB8"/>
    <w:rsid w:val="51F90206"/>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6C72"/>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13697"/>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CB9"/>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267D"/>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A6EB9"/>
    <w:rsid w:val="583F554B"/>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92106"/>
    <w:rsid w:val="5AAB0F55"/>
    <w:rsid w:val="5AAC141E"/>
    <w:rsid w:val="5AAD7560"/>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B65B6"/>
    <w:rsid w:val="5B565B4F"/>
    <w:rsid w:val="5B585CC5"/>
    <w:rsid w:val="5B5911EA"/>
    <w:rsid w:val="5B5B6C7F"/>
    <w:rsid w:val="5B5C0DD4"/>
    <w:rsid w:val="5B5F167F"/>
    <w:rsid w:val="5B636335"/>
    <w:rsid w:val="5B6B10E9"/>
    <w:rsid w:val="5B73596C"/>
    <w:rsid w:val="5B796021"/>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8091C"/>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DF3C85"/>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17383"/>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1D23"/>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10A8"/>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4227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9697A"/>
    <w:rsid w:val="666F32A7"/>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469A7"/>
    <w:rsid w:val="66D953C4"/>
    <w:rsid w:val="66D9632C"/>
    <w:rsid w:val="66E11CEF"/>
    <w:rsid w:val="66E45649"/>
    <w:rsid w:val="66E63A20"/>
    <w:rsid w:val="66E91160"/>
    <w:rsid w:val="66E929BB"/>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7307B"/>
    <w:rsid w:val="673C344F"/>
    <w:rsid w:val="673F469F"/>
    <w:rsid w:val="674004EC"/>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A37B8"/>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185F62"/>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3D7DD4"/>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992FAC"/>
    <w:rsid w:val="6BA63872"/>
    <w:rsid w:val="6BAA2394"/>
    <w:rsid w:val="6BAC5891"/>
    <w:rsid w:val="6BBD26F1"/>
    <w:rsid w:val="6BC04E97"/>
    <w:rsid w:val="6BC80A7B"/>
    <w:rsid w:val="6BD000E9"/>
    <w:rsid w:val="6BD35EFA"/>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A03E9"/>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70A61"/>
    <w:rsid w:val="6E983B53"/>
    <w:rsid w:val="6E9948FB"/>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83410"/>
    <w:rsid w:val="6ED9178E"/>
    <w:rsid w:val="6EDB1E15"/>
    <w:rsid w:val="6EE01553"/>
    <w:rsid w:val="6EE575C0"/>
    <w:rsid w:val="6EEC225F"/>
    <w:rsid w:val="6EEF3794"/>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7935D1"/>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72618"/>
    <w:rsid w:val="70B87F99"/>
    <w:rsid w:val="70BE0780"/>
    <w:rsid w:val="70BE379E"/>
    <w:rsid w:val="70C06311"/>
    <w:rsid w:val="70C37DFF"/>
    <w:rsid w:val="70C96CF0"/>
    <w:rsid w:val="70CF0F88"/>
    <w:rsid w:val="70D1148B"/>
    <w:rsid w:val="70D230D8"/>
    <w:rsid w:val="70D51886"/>
    <w:rsid w:val="70DA2E28"/>
    <w:rsid w:val="70DC51AC"/>
    <w:rsid w:val="70E72A33"/>
    <w:rsid w:val="70ED025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55982"/>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51530"/>
    <w:rsid w:val="73F70104"/>
    <w:rsid w:val="73F76592"/>
    <w:rsid w:val="73F77ED0"/>
    <w:rsid w:val="73F92251"/>
    <w:rsid w:val="73FA706D"/>
    <w:rsid w:val="73FD1FE1"/>
    <w:rsid w:val="74160C0B"/>
    <w:rsid w:val="74167702"/>
    <w:rsid w:val="741920B7"/>
    <w:rsid w:val="74192B04"/>
    <w:rsid w:val="741D29E3"/>
    <w:rsid w:val="742016FD"/>
    <w:rsid w:val="74252A7E"/>
    <w:rsid w:val="74270DC2"/>
    <w:rsid w:val="74274051"/>
    <w:rsid w:val="74394C16"/>
    <w:rsid w:val="74397B64"/>
    <w:rsid w:val="743A1D6A"/>
    <w:rsid w:val="743A2E05"/>
    <w:rsid w:val="743D7F49"/>
    <w:rsid w:val="743F0A47"/>
    <w:rsid w:val="74422F40"/>
    <w:rsid w:val="74427007"/>
    <w:rsid w:val="744439EB"/>
    <w:rsid w:val="74461C72"/>
    <w:rsid w:val="744A0C54"/>
    <w:rsid w:val="744C4300"/>
    <w:rsid w:val="74522ADD"/>
    <w:rsid w:val="745459B1"/>
    <w:rsid w:val="74564F83"/>
    <w:rsid w:val="745E0C4B"/>
    <w:rsid w:val="746640B0"/>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71F13"/>
    <w:rsid w:val="772B0E02"/>
    <w:rsid w:val="77361D8F"/>
    <w:rsid w:val="773A6664"/>
    <w:rsid w:val="773F6B8B"/>
    <w:rsid w:val="77493200"/>
    <w:rsid w:val="775C3C32"/>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33AEF"/>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E85727"/>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237B6"/>
    <w:rsid w:val="7BF521EB"/>
    <w:rsid w:val="7BF652F4"/>
    <w:rsid w:val="7BF65A76"/>
    <w:rsid w:val="7BFE5B71"/>
    <w:rsid w:val="7C037135"/>
    <w:rsid w:val="7C090308"/>
    <w:rsid w:val="7C1526D4"/>
    <w:rsid w:val="7C200746"/>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D125D"/>
    <w:rsid w:val="7F2E2C68"/>
    <w:rsid w:val="7F322F3C"/>
    <w:rsid w:val="7F331D30"/>
    <w:rsid w:val="7F345D5C"/>
    <w:rsid w:val="7F37282D"/>
    <w:rsid w:val="7F3B2C93"/>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258D9"/>
    <w:rsid w:val="7F860D86"/>
    <w:rsid w:val="7F8B7B65"/>
    <w:rsid w:val="7F8C141E"/>
    <w:rsid w:val="7F937AA9"/>
    <w:rsid w:val="7F9D0D28"/>
    <w:rsid w:val="7FA12195"/>
    <w:rsid w:val="7FA42036"/>
    <w:rsid w:val="7FA53BAF"/>
    <w:rsid w:val="7FB176B2"/>
    <w:rsid w:val="7FC746B8"/>
    <w:rsid w:val="7FC9636E"/>
    <w:rsid w:val="7FCD746C"/>
    <w:rsid w:val="7FD81D4E"/>
    <w:rsid w:val="7FDB3066"/>
    <w:rsid w:val="7FDD5DC4"/>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tabs>
        <w:tab w:val="left" w:pos="425"/>
      </w:tabs>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3</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ZTE-Ling Yang</cp:lastModifiedBy>
  <cp:lastPrinted>2018-02-16T23:29:00Z</cp:lastPrinted>
  <dcterms:modified xsi:type="dcterms:W3CDTF">2023-04-07T10:37:38Z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C5B6654EED3B40318C96F60BC332F456</vt:lpwstr>
  </property>
</Properties>
</file>